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2977"/>
        <w:gridCol w:w="1417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930639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930639" w:rsidP="0093063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930639">
              <w:rPr>
                <w:sz w:val="28"/>
                <w:szCs w:val="28"/>
              </w:rPr>
              <w:t>53</w:t>
            </w:r>
          </w:p>
        </w:tc>
      </w:tr>
      <w:tr w:rsidR="008256A8" w:rsidTr="00930639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930639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C23C28" w:rsidRDefault="008256A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23C28">
              <w:rPr>
                <w:b/>
                <w:sz w:val="28"/>
                <w:szCs w:val="28"/>
              </w:rPr>
              <w:t xml:space="preserve">б утверждении плана мероприятий администрации Тужинского муниципального района по противодействию коррупции </w:t>
            </w:r>
          </w:p>
          <w:p w:rsidR="008256A8" w:rsidRDefault="00C23C28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="00963E7C">
              <w:rPr>
                <w:b/>
                <w:sz w:val="28"/>
                <w:szCs w:val="28"/>
              </w:rPr>
              <w:t>2020-2021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  <w:p w:rsidR="00255BD1" w:rsidRDefault="00255BD1" w:rsidP="00C23C2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55BD1" w:rsidRPr="00255BD1" w:rsidRDefault="00255BD1" w:rsidP="00C23C2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55BD1">
              <w:rPr>
                <w:sz w:val="28"/>
                <w:szCs w:val="28"/>
              </w:rPr>
              <w:t>(в редакции от 13.07.2020)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Default="004637A0" w:rsidP="00C23C2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</w:t>
            </w:r>
            <w:r w:rsidR="00C23C28">
              <w:rPr>
                <w:sz w:val="28"/>
                <w:szCs w:val="28"/>
              </w:rPr>
              <w:t xml:space="preserve"> Федеральным законом от 25.12.2008 № 273-ФЗ</w:t>
            </w:r>
            <w:r w:rsidR="007A2AC3">
              <w:rPr>
                <w:sz w:val="28"/>
                <w:szCs w:val="28"/>
              </w:rPr>
              <w:t xml:space="preserve"> «О противодействии коррупции»</w:t>
            </w:r>
            <w:r>
              <w:rPr>
                <w:sz w:val="28"/>
                <w:szCs w:val="28"/>
              </w:rPr>
              <w:t xml:space="preserve">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9E40FA" w:rsidRPr="00A63F11" w:rsidRDefault="009E40FA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Утвердить план мероприятий администрации Тужинского муниципального района по п</w:t>
            </w:r>
            <w:r w:rsidR="00963E7C">
              <w:rPr>
                <w:sz w:val="28"/>
                <w:szCs w:val="28"/>
              </w:rPr>
              <w:t>ротиводействию коррупции на 2020 – 2021</w:t>
            </w:r>
            <w:r>
              <w:rPr>
                <w:sz w:val="28"/>
                <w:szCs w:val="28"/>
              </w:rPr>
              <w:t xml:space="preserve"> годы согласно приложению.</w:t>
            </w:r>
            <w:r w:rsidRPr="00A63F11">
              <w:rPr>
                <w:sz w:val="28"/>
                <w:szCs w:val="28"/>
              </w:rPr>
              <w:t xml:space="preserve"> </w:t>
            </w:r>
          </w:p>
          <w:p w:rsidR="008256A8" w:rsidRDefault="00A70B79" w:rsidP="00963E7C">
            <w:pPr>
              <w:autoSpaceDE w:val="0"/>
              <w:snapToGrid w:val="0"/>
              <w:spacing w:after="240"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744CC">
              <w:rPr>
                <w:sz w:val="28"/>
                <w:szCs w:val="28"/>
              </w:rPr>
              <w:t xml:space="preserve">  </w:t>
            </w:r>
            <w:r w:rsidR="009E40FA">
              <w:rPr>
                <w:sz w:val="28"/>
                <w:szCs w:val="28"/>
              </w:rPr>
              <w:t xml:space="preserve"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  <w:r w:rsidR="00C23C28">
              <w:rPr>
                <w:sz w:val="28"/>
                <w:szCs w:val="28"/>
              </w:rPr>
              <w:t xml:space="preserve"> </w:t>
            </w:r>
            <w:r w:rsidR="009E40FA">
              <w:rPr>
                <w:sz w:val="28"/>
                <w:szCs w:val="28"/>
              </w:rPr>
              <w:t xml:space="preserve"> </w:t>
            </w:r>
          </w:p>
        </w:tc>
      </w:tr>
      <w:tr w:rsidR="008256A8" w:rsidTr="00930639">
        <w:tc>
          <w:tcPr>
            <w:tcW w:w="5387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30639" w:rsidRDefault="00930639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30639">
              <w:rPr>
                <w:color w:val="000000"/>
                <w:sz w:val="28"/>
                <w:szCs w:val="28"/>
              </w:rPr>
              <w:t xml:space="preserve">    Л.В. </w:t>
            </w:r>
            <w:proofErr w:type="gramStart"/>
            <w:r w:rsidR="00930639">
              <w:rPr>
                <w:color w:val="000000"/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23C28" w:rsidRDefault="00C23C2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14203D" w:rsidRDefault="00224566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tab/>
      </w:r>
      <w:r w:rsidR="00930639">
        <w:t xml:space="preserve"> </w:t>
      </w: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297782" w:rsidRDefault="00297782" w:rsidP="00930639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  <w:sectPr w:rsidR="00297782" w:rsidSect="00963E7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8F2910" w:rsidRDefault="00297782" w:rsidP="008F29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F2910">
        <w:rPr>
          <w:sz w:val="28"/>
          <w:szCs w:val="28"/>
        </w:rPr>
        <w:t xml:space="preserve">                                                                                         </w:t>
      </w:r>
    </w:p>
    <w:p w:rsidR="008F2910" w:rsidRDefault="008F2910" w:rsidP="008F2910">
      <w:pPr>
        <w:ind w:left="566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829D5">
        <w:rPr>
          <w:sz w:val="26"/>
          <w:szCs w:val="26"/>
        </w:rPr>
        <w:t>Приложение</w:t>
      </w:r>
    </w:p>
    <w:p w:rsidR="008F2910" w:rsidRPr="00A829D5" w:rsidRDefault="008F2910" w:rsidP="008F2910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page" w:tblpX="11293" w:tblpY="1291"/>
        <w:tblW w:w="4757" w:type="dxa"/>
        <w:tblLook w:val="0000"/>
      </w:tblPr>
      <w:tblGrid>
        <w:gridCol w:w="4757"/>
      </w:tblGrid>
      <w:tr w:rsidR="008F2910" w:rsidRPr="00A829D5" w:rsidTr="00B26951">
        <w:trPr>
          <w:trHeight w:val="1555"/>
        </w:trPr>
        <w:tc>
          <w:tcPr>
            <w:tcW w:w="4757" w:type="dxa"/>
          </w:tcPr>
          <w:p w:rsidR="008F2910" w:rsidRPr="00A829D5" w:rsidRDefault="008F2910" w:rsidP="00B26951">
            <w:pPr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УТВЕРЖДЕН</w:t>
            </w:r>
          </w:p>
          <w:p w:rsidR="008F2910" w:rsidRPr="00A829D5" w:rsidRDefault="008F2910" w:rsidP="00B26951">
            <w:pPr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>постановлением администрации Тужинского муниципального района</w:t>
            </w:r>
          </w:p>
          <w:p w:rsidR="008F2910" w:rsidRPr="00A829D5" w:rsidRDefault="008F2910" w:rsidP="00B26951">
            <w:pPr>
              <w:rPr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от  </w:t>
            </w:r>
            <w:r>
              <w:rPr>
                <w:color w:val="000000"/>
                <w:sz w:val="26"/>
                <w:szCs w:val="26"/>
              </w:rPr>
              <w:t>13.07.2020</w:t>
            </w:r>
            <w:r w:rsidRPr="00A829D5">
              <w:rPr>
                <w:color w:val="000000"/>
                <w:sz w:val="26"/>
                <w:szCs w:val="26"/>
              </w:rPr>
              <w:t xml:space="preserve">   №</w:t>
            </w:r>
            <w:r>
              <w:rPr>
                <w:color w:val="000000"/>
                <w:sz w:val="26"/>
                <w:szCs w:val="26"/>
              </w:rPr>
              <w:t xml:space="preserve"> 220</w:t>
            </w:r>
          </w:p>
        </w:tc>
      </w:tr>
    </w:tbl>
    <w:p w:rsidR="008F2910" w:rsidRPr="00A829D5" w:rsidRDefault="008F2910" w:rsidP="008F2910">
      <w:pPr>
        <w:rPr>
          <w:sz w:val="26"/>
          <w:szCs w:val="26"/>
        </w:rPr>
      </w:pPr>
    </w:p>
    <w:p w:rsidR="008F2910" w:rsidRPr="00A829D5" w:rsidRDefault="008F2910" w:rsidP="008F2910">
      <w:pPr>
        <w:rPr>
          <w:sz w:val="26"/>
          <w:szCs w:val="26"/>
        </w:rPr>
      </w:pPr>
    </w:p>
    <w:p w:rsidR="008F2910" w:rsidRPr="00A829D5" w:rsidRDefault="008F2910" w:rsidP="008F2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F2910" w:rsidRDefault="008F2910" w:rsidP="008F2910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8F2910" w:rsidRPr="00A829D5" w:rsidRDefault="008F2910" w:rsidP="008F2910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829D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8F2910" w:rsidRPr="00A829D5" w:rsidRDefault="008F2910" w:rsidP="008F2910">
      <w:pPr>
        <w:pStyle w:val="ConsPlusNormal"/>
        <w:ind w:left="-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мероприятий администрации Тужинского муниципального района</w:t>
      </w:r>
    </w:p>
    <w:p w:rsidR="008F2910" w:rsidRDefault="008F2910" w:rsidP="008F2910">
      <w:pPr>
        <w:pStyle w:val="ConsPlusNormal"/>
        <w:ind w:left="993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по п</w:t>
      </w:r>
      <w:r>
        <w:rPr>
          <w:rFonts w:ascii="Times New Roman" w:hAnsi="Times New Roman" w:cs="Times New Roman"/>
          <w:b/>
          <w:sz w:val="26"/>
          <w:szCs w:val="26"/>
        </w:rPr>
        <w:t>ротиводействию коррупции</w:t>
      </w:r>
    </w:p>
    <w:p w:rsidR="008F2910" w:rsidRDefault="008F2910" w:rsidP="008F2910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2020-2021</w:t>
      </w:r>
      <w:r w:rsidRPr="00A829D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8F2910" w:rsidRPr="009D6A1C" w:rsidRDefault="008F2910" w:rsidP="008F2910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2"/>
        <w:gridCol w:w="4685"/>
        <w:gridCol w:w="2249"/>
        <w:gridCol w:w="1867"/>
        <w:gridCol w:w="2268"/>
        <w:gridCol w:w="3338"/>
      </w:tblGrid>
      <w:tr w:rsidR="008F2910" w:rsidRPr="00E52985" w:rsidTr="008F2910">
        <w:trPr>
          <w:trHeight w:val="320"/>
        </w:trPr>
        <w:tc>
          <w:tcPr>
            <w:tcW w:w="1122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</w:pPr>
            <w:r w:rsidRPr="00E52985">
              <w:t xml:space="preserve">N    </w:t>
            </w:r>
          </w:p>
          <w:p w:rsidR="008F2910" w:rsidRPr="00E52985" w:rsidRDefault="008F2910" w:rsidP="00B26951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E52985">
              <w:t>п</w:t>
            </w:r>
            <w:proofErr w:type="spellEnd"/>
            <w:proofErr w:type="gramEnd"/>
            <w:r w:rsidRPr="00E52985">
              <w:t>/</w:t>
            </w:r>
            <w:proofErr w:type="spellStart"/>
            <w:r w:rsidRPr="00E52985">
              <w:t>п</w:t>
            </w:r>
            <w:proofErr w:type="spellEnd"/>
            <w:r w:rsidRPr="00E52985">
              <w:t xml:space="preserve">  </w:t>
            </w:r>
          </w:p>
        </w:tc>
        <w:tc>
          <w:tcPr>
            <w:tcW w:w="4685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249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  <w:jc w:val="center"/>
            </w:pPr>
            <w:r w:rsidRPr="00E52985">
              <w:t>Ответственный исполнитель</w:t>
            </w:r>
          </w:p>
        </w:tc>
        <w:tc>
          <w:tcPr>
            <w:tcW w:w="1867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  <w:jc w:val="center"/>
            </w:pPr>
            <w:r>
              <w:t>Срок вы</w:t>
            </w:r>
            <w:r w:rsidRPr="00E52985">
              <w:t>полнения</w:t>
            </w:r>
          </w:p>
        </w:tc>
        <w:tc>
          <w:tcPr>
            <w:tcW w:w="2268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3338" w:type="dxa"/>
          </w:tcPr>
          <w:p w:rsidR="008F2910" w:rsidRPr="00E52985" w:rsidRDefault="008F2910" w:rsidP="00B26951">
            <w:pPr>
              <w:autoSpaceDE w:val="0"/>
              <w:autoSpaceDN w:val="0"/>
              <w:adjustRightInd w:val="0"/>
              <w:jc w:val="center"/>
            </w:pPr>
            <w:r w:rsidRPr="00E52985">
              <w:t>Ожидаемый результат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4F669F" w:rsidRDefault="008F2910" w:rsidP="008F2910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5" w:type="dxa"/>
            <w:vAlign w:val="center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политики</w:t>
            </w:r>
          </w:p>
          <w:p w:rsidR="008F2910" w:rsidRPr="004F669F" w:rsidRDefault="008F2910" w:rsidP="00B269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8F2910" w:rsidRDefault="008F2910" w:rsidP="00B26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85" w:type="dxa"/>
          </w:tcPr>
          <w:p w:rsidR="008F2910" w:rsidRPr="00AF47A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Своеврем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корректировка муниципального плана мероприятий по противодействию коррупции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8F2910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E52985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 по противодействию коррупции с учетом специфики деятельности администрации Тужинского муниципального района;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правосознания муниципальных служащих  </w:t>
            </w:r>
          </w:p>
          <w:p w:rsidR="008F2910" w:rsidRPr="00E52985" w:rsidRDefault="008F2910" w:rsidP="00B269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2910" w:rsidRPr="00E52985" w:rsidTr="008F2910">
        <w:trPr>
          <w:trHeight w:val="1948"/>
        </w:trPr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85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поддержание в актуальном состоянии нормативных правовых и иных актов, направленных на противодействие коррупции</w:t>
            </w: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соответствия нормативных правовых и иных актов, направленных на противодействие коррупции, законодательству Российской Федерации и Кировской области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85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межведомственной комиссии по противодействию коррупции в Тужинском муниципальном районе</w:t>
            </w:r>
          </w:p>
          <w:p w:rsidR="008F2910" w:rsidRDefault="008F2910" w:rsidP="00B269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 работы комиссии  </w:t>
            </w:r>
          </w:p>
        </w:tc>
        <w:tc>
          <w:tcPr>
            <w:tcW w:w="2268" w:type="dxa"/>
          </w:tcPr>
          <w:p w:rsidR="008F2910" w:rsidRPr="003D7320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комиссии,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 течение отчетного года, - не менее 4 единиц</w:t>
            </w:r>
          </w:p>
        </w:tc>
        <w:tc>
          <w:tcPr>
            <w:tcW w:w="3338" w:type="dxa"/>
          </w:tcPr>
          <w:p w:rsidR="008F2910" w:rsidRPr="003D732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85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в пределах полномочий содействия муниципальным образованиям Тужинского района по противодействию коррупции</w:t>
            </w:r>
          </w:p>
        </w:tc>
        <w:tc>
          <w:tcPr>
            <w:tcW w:w="2249" w:type="dxa"/>
          </w:tcPr>
          <w:p w:rsidR="008F2910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3D7320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редупреждение коррупционных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проявлений в деятельности органов местного самоуправления района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4F669F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5" w:type="dxa"/>
          </w:tcPr>
          <w:p w:rsidR="008F2910" w:rsidRPr="004F669F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4F6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интересов, обеспечение соблюдения  муниципальными служащими ограничений, запретов и принципов служебного поведения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249" w:type="dxa"/>
          </w:tcPr>
          <w:p w:rsidR="008F2910" w:rsidRPr="00E52985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</w:tcPr>
          <w:p w:rsidR="008F2910" w:rsidRDefault="008F2910" w:rsidP="00B26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910" w:rsidRPr="003D732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8" w:type="dxa"/>
          </w:tcPr>
          <w:p w:rsidR="008F2910" w:rsidRPr="003D7320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85" w:type="dxa"/>
          </w:tcPr>
          <w:p w:rsidR="008F2910" w:rsidRPr="00EC3E22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деятельности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EC3E22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F93353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35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правонарушений коррупционной направленности, в том числе привлеченных к ответственности за нарушение законодательства о муниципальной службе, совершенных муниципальными служащими в </w:t>
            </w:r>
            <w:r w:rsidRPr="00F9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году</w:t>
            </w:r>
          </w:p>
        </w:tc>
        <w:tc>
          <w:tcPr>
            <w:tcW w:w="3338" w:type="dxa"/>
          </w:tcPr>
          <w:p w:rsidR="008F2910" w:rsidRPr="00AF47A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и Кировской области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и противодействии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85" w:type="dxa"/>
          </w:tcPr>
          <w:p w:rsidR="008F2910" w:rsidRPr="006917E9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своевременной сдачи сведений о доходах, расходах, об имуществе и обязательствах имущественного характера своих, своих супруги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</w:t>
            </w: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6917E9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для их подачи</w:t>
            </w:r>
          </w:p>
        </w:tc>
        <w:tc>
          <w:tcPr>
            <w:tcW w:w="2268" w:type="dxa"/>
          </w:tcPr>
          <w:p w:rsidR="008F2910" w:rsidRPr="006917E9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6917E9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 претендующими на замещение должностей муниципальной службы и лицами, замещающими указанные должности,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7E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 требований законодательства о муниципальной службе и противодействию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85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и полноты сведений о доходах, расходах, об имуществе и обязательствах имущественного характера своих, своих супруги (супруга) и несовершеннолетних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, представляемых гражданами, претендующими на замещение должностей муниципальной службы и лицами,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амещающими указанные должности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01651C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01651C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F2910" w:rsidRPr="0001651C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01651C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 осуществления мер по профилактике коррупционных и иных правонарушений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85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ведения личных дел лиц, замещающих должности муниципальной службы и главы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657797" w:rsidRPr="0001651C" w:rsidRDefault="00657797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 xml:space="preserve">управление делами </w:t>
            </w:r>
            <w:r>
              <w:t xml:space="preserve"> </w:t>
            </w:r>
          </w:p>
          <w:p w:rsidR="008F2910" w:rsidRPr="0001651C" w:rsidRDefault="008F2910" w:rsidP="00B26951">
            <w:r>
              <w:rPr>
                <w:color w:val="000000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01651C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в сроки </w:t>
            </w:r>
            <w:proofErr w:type="spellStart"/>
            <w:proofErr w:type="gramStart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планами работы</w:t>
            </w:r>
          </w:p>
        </w:tc>
        <w:tc>
          <w:tcPr>
            <w:tcW w:w="2268" w:type="dxa"/>
          </w:tcPr>
          <w:p w:rsidR="008F2910" w:rsidRPr="0001651C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01651C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лицами, замещающими должности муниципальной службы и главы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Тужинский</w:t>
            </w:r>
            <w:proofErr w:type="spellEnd"/>
            <w:r w:rsidRPr="000165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Кировской области, требований законодательства Российской Федерации о муниципальной службе и противодействии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85" w:type="dxa"/>
          </w:tcPr>
          <w:p w:rsidR="008F2910" w:rsidRPr="00CD4F0F" w:rsidRDefault="008F2910" w:rsidP="00B26951">
            <w:r w:rsidRPr="00CD4F0F"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249" w:type="dxa"/>
          </w:tcPr>
          <w:p w:rsidR="008F2910" w:rsidRPr="00CD4F0F" w:rsidRDefault="008F2910" w:rsidP="00B26951">
            <w:r w:rsidRPr="00CD4F0F">
              <w:t>управление делами</w:t>
            </w:r>
          </w:p>
          <w:p w:rsidR="008F2910" w:rsidRPr="00CD4F0F" w:rsidRDefault="008F2910" w:rsidP="00B26951">
            <w:r w:rsidRPr="00CD4F0F">
              <w:rPr>
                <w:color w:val="000000"/>
              </w:rPr>
              <w:t>отдел организационно-правовой и кадровой работы</w:t>
            </w:r>
            <w:r w:rsidRPr="00CD4F0F">
              <w:t xml:space="preserve"> </w:t>
            </w:r>
          </w:p>
          <w:p w:rsidR="008F2910" w:rsidRPr="00CD4F0F" w:rsidRDefault="008F2910" w:rsidP="00B26951"/>
        </w:tc>
        <w:tc>
          <w:tcPr>
            <w:tcW w:w="1867" w:type="dxa"/>
          </w:tcPr>
          <w:p w:rsidR="008F2910" w:rsidRPr="00CD4F0F" w:rsidRDefault="008F2910" w:rsidP="00B26951">
            <w:r w:rsidRPr="00CD4F0F">
              <w:t>постоянно</w:t>
            </w:r>
          </w:p>
        </w:tc>
        <w:tc>
          <w:tcPr>
            <w:tcW w:w="2268" w:type="dxa"/>
          </w:tcPr>
          <w:p w:rsidR="008F2910" w:rsidRPr="00CD4F0F" w:rsidRDefault="008F2910" w:rsidP="00B26951">
            <w:r w:rsidRPr="00CD4F0F">
              <w:t xml:space="preserve">отсутствие обращений в целях склонения муниципальных служащих к совершению коррупционных правонарушений </w:t>
            </w:r>
          </w:p>
        </w:tc>
        <w:tc>
          <w:tcPr>
            <w:tcW w:w="3338" w:type="dxa"/>
          </w:tcPr>
          <w:p w:rsidR="008F2910" w:rsidRPr="00CD4F0F" w:rsidRDefault="008F2910" w:rsidP="00B26951">
            <w:r w:rsidRPr="00CD4F0F">
              <w:t>соблюдение муниципальными служащими законодательства Российской Федерации по вопросам противодействия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85" w:type="dxa"/>
          </w:tcPr>
          <w:p w:rsidR="008F2910" w:rsidRPr="00CD4F0F" w:rsidRDefault="008F2910" w:rsidP="00B26951">
            <w:r w:rsidRPr="00CD4F0F"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</w:t>
            </w:r>
          </w:p>
          <w:p w:rsidR="008F2910" w:rsidRPr="00CD4F0F" w:rsidRDefault="008F2910" w:rsidP="00B26951"/>
        </w:tc>
        <w:tc>
          <w:tcPr>
            <w:tcW w:w="2249" w:type="dxa"/>
          </w:tcPr>
          <w:p w:rsidR="008F2910" w:rsidRPr="00CD4F0F" w:rsidRDefault="008F2910" w:rsidP="00B26951">
            <w:r w:rsidRPr="00CD4F0F">
              <w:t>управление делами</w:t>
            </w:r>
          </w:p>
          <w:p w:rsidR="008F2910" w:rsidRPr="00CD4F0F" w:rsidRDefault="008F2910" w:rsidP="00B26951">
            <w:r w:rsidRPr="00CD4F0F">
              <w:rPr>
                <w:color w:val="000000"/>
              </w:rPr>
              <w:t>отдел организационно-правовой и кадровой работы</w:t>
            </w:r>
          </w:p>
          <w:p w:rsidR="008F2910" w:rsidRPr="00CD4F0F" w:rsidRDefault="008F2910" w:rsidP="00B26951"/>
        </w:tc>
        <w:tc>
          <w:tcPr>
            <w:tcW w:w="1867" w:type="dxa"/>
          </w:tcPr>
          <w:p w:rsidR="008F2910" w:rsidRPr="00CD4F0F" w:rsidRDefault="008F2910" w:rsidP="00B26951">
            <w:r w:rsidRPr="00CD4F0F">
              <w:t>ежегодно</w:t>
            </w:r>
          </w:p>
        </w:tc>
        <w:tc>
          <w:tcPr>
            <w:tcW w:w="2268" w:type="dxa"/>
          </w:tcPr>
          <w:p w:rsidR="008F2910" w:rsidRPr="00CD4F0F" w:rsidRDefault="008F2910" w:rsidP="00B26951"/>
        </w:tc>
        <w:tc>
          <w:tcPr>
            <w:tcW w:w="3338" w:type="dxa"/>
          </w:tcPr>
          <w:p w:rsidR="008F2910" w:rsidRPr="00CD4F0F" w:rsidRDefault="008F2910" w:rsidP="00B26951">
            <w:r w:rsidRPr="00CD4F0F">
              <w:t>выявление в деятельности  администрации района 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мер ответственности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A30B9B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осуществления мер по профилактике коррупционных и иных правонарушений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</w:tcPr>
          <w:p w:rsidR="008F2910" w:rsidRPr="00A30B9B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муниципальными служащими требований законодательства о противодействии коррупции, касающихся предотвращения и урегулирования конфликта интересов; принятие мер по выявлению и устранению причин и условий, способствующих возникновению конфликта интересов при осуществлении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муниципальными служащими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муниципальных служащих,  в должностные обязанности которых входит участие в противодействии коррупции </w:t>
            </w: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овышение уровня правовой грамотности муниципальных служащих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при назначении на</w:t>
            </w:r>
            <w:r w:rsidR="0065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577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оответст</w:t>
            </w:r>
            <w:r w:rsidR="006577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вующие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268" w:type="dxa"/>
          </w:tcPr>
          <w:p w:rsidR="008F2910" w:rsidRPr="00A30B9B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 в сфере противодействия коррупции и навыков </w:t>
            </w:r>
            <w:proofErr w:type="spell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685" w:type="dxa"/>
          </w:tcPr>
          <w:p w:rsidR="008F2910" w:rsidRPr="00CD4F0F" w:rsidRDefault="008F2910" w:rsidP="00B26951">
            <w:r w:rsidRPr="00CD4F0F">
              <w:t>Организация работы по формированию отрицательного отношения муниципальных служащих к коррупции и дарению подарков</w:t>
            </w:r>
          </w:p>
          <w:p w:rsidR="008F2910" w:rsidRPr="00CD4F0F" w:rsidRDefault="008F2910" w:rsidP="00B26951"/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B26951">
            <w:r w:rsidRPr="00A30B9B">
              <w:t>постоянно</w:t>
            </w:r>
          </w:p>
        </w:tc>
        <w:tc>
          <w:tcPr>
            <w:tcW w:w="2268" w:type="dxa"/>
          </w:tcPr>
          <w:p w:rsidR="008F2910" w:rsidRPr="00A30B9B" w:rsidRDefault="008F2910" w:rsidP="00B26951">
            <w:r w:rsidRPr="00A30B9B">
              <w:t xml:space="preserve">количество выявленных случаев проявления муниципальными служащими коррупционных проявлений  </w:t>
            </w:r>
          </w:p>
        </w:tc>
        <w:tc>
          <w:tcPr>
            <w:tcW w:w="3338" w:type="dxa"/>
          </w:tcPr>
          <w:p w:rsidR="008F2910" w:rsidRPr="00A30B9B" w:rsidRDefault="008F2910" w:rsidP="00B26951">
            <w:r w:rsidRPr="00A30B9B">
              <w:t xml:space="preserve">выявление случаев несоблюдения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 и других коррупционных проявлений   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4A40FC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5" w:type="dxa"/>
          </w:tcPr>
          <w:p w:rsidR="008F2910" w:rsidRPr="004A40FC" w:rsidRDefault="008F2910" w:rsidP="00B26951">
            <w:pPr>
              <w:rPr>
                <w:b/>
              </w:rPr>
            </w:pPr>
            <w:r w:rsidRPr="004A40FC">
              <w:rPr>
                <w:b/>
              </w:rPr>
              <w:t>Выявление и систематизация причин и условий проявления коррупции в деятельности  администрации района, мониторинг коррупционных рисков и их устранение</w:t>
            </w:r>
          </w:p>
        </w:tc>
        <w:tc>
          <w:tcPr>
            <w:tcW w:w="2249" w:type="dxa"/>
          </w:tcPr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B26951"/>
        </w:tc>
        <w:tc>
          <w:tcPr>
            <w:tcW w:w="2268" w:type="dxa"/>
          </w:tcPr>
          <w:p w:rsidR="008F2910" w:rsidRPr="00A30B9B" w:rsidRDefault="008F2910" w:rsidP="00B26951"/>
        </w:tc>
        <w:tc>
          <w:tcPr>
            <w:tcW w:w="3338" w:type="dxa"/>
          </w:tcPr>
          <w:p w:rsidR="008F2910" w:rsidRPr="00A30B9B" w:rsidRDefault="008F2910" w:rsidP="00B26951"/>
        </w:tc>
      </w:tr>
      <w:tr w:rsidR="008F2910" w:rsidRPr="00E52985" w:rsidTr="008F2910">
        <w:tc>
          <w:tcPr>
            <w:tcW w:w="1122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актов, разрабатываемых органами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самоуправления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49" w:type="dxa"/>
          </w:tcPr>
          <w:p w:rsidR="008F2910" w:rsidRPr="00E52985" w:rsidRDefault="008F2910" w:rsidP="006577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</w:tcPr>
          <w:p w:rsidR="008F2910" w:rsidRPr="00A30B9B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коррупционных факторов в муниципальных нормативных правовых актах и их проектах 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организации деятельности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муниципальных нужд,  в том числе недопущение возникновения конфликта интересов в указанной сфере деятельности путем проведения анализа в целях выявления аффилированных связей членов закупочных комиссий с участниками закупок, проведение мероприятий, направленных на выявление фактов предоставления необоснованных льгот и преференций юридическим лицам</w:t>
            </w:r>
            <w:proofErr w:type="gramEnd"/>
          </w:p>
        </w:tc>
        <w:tc>
          <w:tcPr>
            <w:tcW w:w="2249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A30B9B" w:rsidRDefault="008F2910" w:rsidP="00B26951"/>
          <w:p w:rsidR="008F2910" w:rsidRPr="00A30B9B" w:rsidRDefault="008F2910" w:rsidP="00B26951">
            <w:r>
              <w:t xml:space="preserve"> </w:t>
            </w:r>
          </w:p>
          <w:p w:rsidR="008F2910" w:rsidRPr="00A30B9B" w:rsidRDefault="008F2910" w:rsidP="00B26951"/>
          <w:p w:rsidR="008F2910" w:rsidRPr="00A30B9B" w:rsidRDefault="008F2910" w:rsidP="00B26951"/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 мере заключения муниципальных контрактов</w:t>
            </w:r>
          </w:p>
        </w:tc>
        <w:tc>
          <w:tcPr>
            <w:tcW w:w="226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при осуществлении закупок товаров, работ, услуг для обеспечения муниципальных нужд</w:t>
            </w: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при осуществлении закупок товаров, работ, услуг для обеспечения муниципальных нужд, исключения коррупционных проявления при выполнении данной работы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5" w:type="dxa"/>
          </w:tcPr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предоставляемых муниципальных услугах:</w:t>
            </w:r>
          </w:p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- на официальном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ционном сайте администрации района;</w:t>
            </w:r>
          </w:p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-в Реестре государственных и муниципальных услуг (функций) Кировской области, на портале государственных и муниципальных услуг Кировской области;</w:t>
            </w:r>
          </w:p>
          <w:p w:rsidR="008F2910" w:rsidRPr="00A30B9B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межведомственного электронного взаимодействия субъектов информационного обмена,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предусмотренного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249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 и прогнозированию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8F2910" w:rsidRPr="00A30B9B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A30B9B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администрации района, повышение эффективности работы по противодействию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4A40FC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85" w:type="dxa"/>
          </w:tcPr>
          <w:p w:rsidR="008F2910" w:rsidRPr="004A40FC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администрации района с институтами гражданского общества и гражданами, обеспечение доступности информации о деятельности  администрации района</w:t>
            </w:r>
          </w:p>
        </w:tc>
        <w:tc>
          <w:tcPr>
            <w:tcW w:w="2249" w:type="dxa"/>
          </w:tcPr>
          <w:p w:rsidR="008F2910" w:rsidRPr="0001651C" w:rsidRDefault="008F2910" w:rsidP="00B26951"/>
        </w:tc>
        <w:tc>
          <w:tcPr>
            <w:tcW w:w="1867" w:type="dxa"/>
          </w:tcPr>
          <w:p w:rsidR="008F2910" w:rsidRPr="00A30B9B" w:rsidRDefault="008F2910" w:rsidP="00B26951"/>
        </w:tc>
        <w:tc>
          <w:tcPr>
            <w:tcW w:w="2268" w:type="dxa"/>
          </w:tcPr>
          <w:p w:rsidR="008F2910" w:rsidRPr="00A30B9B" w:rsidRDefault="008F2910" w:rsidP="00B26951"/>
        </w:tc>
        <w:tc>
          <w:tcPr>
            <w:tcW w:w="3338" w:type="dxa"/>
          </w:tcPr>
          <w:p w:rsidR="008F2910" w:rsidRPr="00A30B9B" w:rsidRDefault="008F2910" w:rsidP="00B26951"/>
        </w:tc>
      </w:tr>
      <w:tr w:rsidR="008F2910" w:rsidRPr="00E52985" w:rsidTr="008F2910">
        <w:tc>
          <w:tcPr>
            <w:tcW w:w="1122" w:type="dxa"/>
          </w:tcPr>
          <w:p w:rsidR="008F2910" w:rsidRPr="00F645B8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:rsidR="008F2910" w:rsidRPr="00AF47A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8F2910" w:rsidRPr="00F645B8" w:rsidRDefault="008F2910" w:rsidP="00B26951">
            <w:r w:rsidRPr="00F645B8">
              <w:t>управление делами</w:t>
            </w:r>
          </w:p>
          <w:p w:rsidR="008F2910" w:rsidRPr="00F645B8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F645B8" w:rsidRDefault="008F2910" w:rsidP="00B26951"/>
          <w:p w:rsidR="008F2910" w:rsidRPr="00F645B8" w:rsidRDefault="008F2910" w:rsidP="00B26951"/>
        </w:tc>
        <w:tc>
          <w:tcPr>
            <w:tcW w:w="1867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268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граждан, проанализированных на предмет наличия сведений о возможных проявлениях коррупции, к общему количеству поступивших обращений граждан - не менее 100 процентов</w:t>
            </w:r>
          </w:p>
        </w:tc>
        <w:tc>
          <w:tcPr>
            <w:tcW w:w="3338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обращениях, с целью принятия адекватных мер реагирования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F645B8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:rsidR="008F2910" w:rsidRPr="00F645B8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населения по вопросам противодействия коррупции,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 xml:space="preserve"> через районну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газету «Родной край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», официальный сайт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района, информационные стенды</w:t>
            </w:r>
          </w:p>
          <w:p w:rsidR="008F2910" w:rsidRPr="00F645B8" w:rsidRDefault="008F2910" w:rsidP="00B26951"/>
        </w:tc>
        <w:tc>
          <w:tcPr>
            <w:tcW w:w="2249" w:type="dxa"/>
          </w:tcPr>
          <w:p w:rsidR="008F2910" w:rsidRPr="00F645B8" w:rsidRDefault="008F2910" w:rsidP="00B26951">
            <w:r w:rsidRPr="00F645B8">
              <w:t>управление делами</w:t>
            </w:r>
          </w:p>
          <w:p w:rsidR="008F2910" w:rsidRPr="00F645B8" w:rsidRDefault="008F2910" w:rsidP="00B26951">
            <w:r>
              <w:t xml:space="preserve"> </w:t>
            </w:r>
          </w:p>
          <w:p w:rsidR="008F2910" w:rsidRPr="00F645B8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10" w:rsidRPr="00F645B8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F645B8" w:rsidRDefault="008F2910" w:rsidP="00B26951"/>
          <w:p w:rsidR="008F2910" w:rsidRPr="00F645B8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оличество публикаций и статей в средствах массовой информации по вопросам противодействия коррупции (единиц) и деятельности органов местного самоуправления </w:t>
            </w:r>
            <w:r w:rsidRPr="00F6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(единиц)</w:t>
            </w:r>
          </w:p>
        </w:tc>
        <w:tc>
          <w:tcPr>
            <w:tcW w:w="3338" w:type="dxa"/>
          </w:tcPr>
          <w:p w:rsidR="008F2910" w:rsidRPr="00F645B8" w:rsidRDefault="008F2910" w:rsidP="00657797">
            <w:pPr>
              <w:pStyle w:val="ConsPlusNormal"/>
              <w:ind w:righ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органов местного самоуправления, повышение эффективности пропагандистских и просветительских мер, направленных на создание нетерпимости к коррупционным проявлениям</w:t>
            </w:r>
          </w:p>
          <w:p w:rsidR="008F2910" w:rsidRPr="00F645B8" w:rsidRDefault="008F2910" w:rsidP="00B26951">
            <w:pPr>
              <w:pStyle w:val="ConsPlusNormal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910" w:rsidRPr="00E52985" w:rsidTr="008F2910">
        <w:tc>
          <w:tcPr>
            <w:tcW w:w="1122" w:type="dxa"/>
          </w:tcPr>
          <w:p w:rsidR="008F2910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685" w:type="dxa"/>
          </w:tcPr>
          <w:p w:rsidR="008F2910" w:rsidRPr="00AF47A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работы телефонов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:rsidR="008F2910" w:rsidRPr="00F645B8" w:rsidRDefault="008F2910" w:rsidP="00B26951">
            <w:r>
              <w:t>управление делами</w:t>
            </w:r>
          </w:p>
        </w:tc>
        <w:tc>
          <w:tcPr>
            <w:tcW w:w="1867" w:type="dxa"/>
          </w:tcPr>
          <w:p w:rsidR="008F2910" w:rsidRPr="00F645B8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8" w:type="dxa"/>
          </w:tcPr>
          <w:p w:rsidR="008F2910" w:rsidRPr="00AF47A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F645B8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85" w:type="dxa"/>
          </w:tcPr>
          <w:p w:rsidR="008F2910" w:rsidRPr="00F645B8" w:rsidRDefault="008F2910" w:rsidP="00B26951">
            <w:r w:rsidRPr="00F645B8">
              <w:t xml:space="preserve">Привлечение представителей общественных объединений, политических партий, средств массовой информации к работе межведомственной комиссии по противодействию коррупции </w:t>
            </w:r>
            <w:r>
              <w:t xml:space="preserve"> в Тужинском муниципальном районе</w:t>
            </w:r>
          </w:p>
        </w:tc>
        <w:tc>
          <w:tcPr>
            <w:tcW w:w="2249" w:type="dxa"/>
          </w:tcPr>
          <w:p w:rsidR="008F2910" w:rsidRPr="0001651C" w:rsidRDefault="008F2910" w:rsidP="00B26951">
            <w:r w:rsidRPr="0001651C">
              <w:t>управление делами</w:t>
            </w:r>
          </w:p>
          <w:p w:rsidR="008F2910" w:rsidRPr="0001651C" w:rsidRDefault="008F2910" w:rsidP="00B26951"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</w:tc>
        <w:tc>
          <w:tcPr>
            <w:tcW w:w="1867" w:type="dxa"/>
          </w:tcPr>
          <w:p w:rsidR="008F2910" w:rsidRPr="00F645B8" w:rsidRDefault="008F2910" w:rsidP="00B26951">
            <w:r w:rsidRPr="00F645B8">
              <w:t>по мере необходимости</w:t>
            </w:r>
          </w:p>
        </w:tc>
        <w:tc>
          <w:tcPr>
            <w:tcW w:w="2268" w:type="dxa"/>
          </w:tcPr>
          <w:p w:rsidR="008F2910" w:rsidRPr="00F645B8" w:rsidRDefault="008F2910" w:rsidP="00B26951"/>
        </w:tc>
        <w:tc>
          <w:tcPr>
            <w:tcW w:w="3338" w:type="dxa"/>
          </w:tcPr>
          <w:p w:rsidR="008F2910" w:rsidRPr="00F645B8" w:rsidRDefault="008F2910" w:rsidP="00B26951">
            <w:r>
              <w:t>о</w:t>
            </w:r>
            <w:r w:rsidRPr="00F645B8">
              <w:t xml:space="preserve">беспечение открытости </w:t>
            </w:r>
            <w:proofErr w:type="spellStart"/>
            <w:r w:rsidRPr="00F645B8">
              <w:t>антикоррупционной</w:t>
            </w:r>
            <w:proofErr w:type="spellEnd"/>
            <w:r w:rsidRPr="00F645B8">
              <w:t xml:space="preserve"> деятельности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F645B8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85" w:type="dxa"/>
          </w:tcPr>
          <w:p w:rsidR="008F2910" w:rsidRPr="00AF47A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коррупции, официального сайта администрации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hyperlink r:id="rId6" w:history="1">
              <w:r w:rsidRPr="002A237F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      </w:r>
            <w:proofErr w:type="gramEnd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характера"</w:t>
            </w:r>
          </w:p>
        </w:tc>
        <w:tc>
          <w:tcPr>
            <w:tcW w:w="2249" w:type="dxa"/>
          </w:tcPr>
          <w:p w:rsidR="008F2910" w:rsidRPr="002A237F" w:rsidRDefault="008F2910" w:rsidP="00B26951">
            <w:r w:rsidRPr="002A237F">
              <w:lastRenderedPageBreak/>
              <w:t>управление делами</w:t>
            </w:r>
          </w:p>
        </w:tc>
        <w:tc>
          <w:tcPr>
            <w:tcW w:w="1867" w:type="dxa"/>
          </w:tcPr>
          <w:p w:rsidR="008F2910" w:rsidRPr="00F645B8" w:rsidRDefault="008F2910" w:rsidP="00B26951">
            <w:r>
              <w:t>постоянно</w:t>
            </w:r>
          </w:p>
        </w:tc>
        <w:tc>
          <w:tcPr>
            <w:tcW w:w="2268" w:type="dxa"/>
          </w:tcPr>
          <w:p w:rsidR="008F2910" w:rsidRPr="00F645B8" w:rsidRDefault="008F2910" w:rsidP="00B26951"/>
        </w:tc>
        <w:tc>
          <w:tcPr>
            <w:tcW w:w="3338" w:type="dxa"/>
          </w:tcPr>
          <w:p w:rsidR="008F2910" w:rsidRPr="00AF47A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доступности информации об </w:t>
            </w:r>
            <w:proofErr w:type="spellStart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4A40FC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5" w:type="dxa"/>
          </w:tcPr>
          <w:p w:rsidR="008F2910" w:rsidRPr="004A40FC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0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направленные на противодействие коррупции</w:t>
            </w:r>
          </w:p>
          <w:p w:rsidR="008F2910" w:rsidRPr="004A40FC" w:rsidRDefault="008F2910" w:rsidP="00B269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Pr="00E52985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F2910" w:rsidRPr="00E52985" w:rsidRDefault="008F2910" w:rsidP="00B269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2910" w:rsidRPr="00E52985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E52985" w:rsidRDefault="008F2910" w:rsidP="00B269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85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муниципального финансового контроля </w:t>
            </w:r>
          </w:p>
          <w:p w:rsidR="008F2910" w:rsidRPr="008B7ADD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8F2910" w:rsidRPr="008B7ADD" w:rsidRDefault="008F2910" w:rsidP="00B26951">
            <w:r w:rsidRPr="008B7ADD">
              <w:t>финансовое управление</w:t>
            </w:r>
          </w:p>
          <w:p w:rsidR="008F2910" w:rsidRPr="008B7ADD" w:rsidRDefault="008F2910" w:rsidP="00B26951">
            <w:r>
              <w:t xml:space="preserve"> 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контрольных мероприятий </w:t>
            </w:r>
          </w:p>
        </w:tc>
        <w:tc>
          <w:tcPr>
            <w:tcW w:w="333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коррупционных рисков и коррупционных проявлений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85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экспертн</w:t>
            </w:r>
            <w:proofErr w:type="gram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аналитических мероприятий.</w:t>
            </w:r>
          </w:p>
          <w:p w:rsidR="008F2910" w:rsidRPr="008B7ADD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9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контрольно - счетной комиссии</w:t>
            </w:r>
          </w:p>
        </w:tc>
        <w:tc>
          <w:tcPr>
            <w:tcW w:w="226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и принятые меры по устранению нарушений</w:t>
            </w:r>
          </w:p>
        </w:tc>
        <w:tc>
          <w:tcPr>
            <w:tcW w:w="333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контрольной и экспертно - аналитической деятельности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685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2249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8B7ADD" w:rsidRDefault="008F2910" w:rsidP="00B26951"/>
          <w:p w:rsidR="008F2910" w:rsidRPr="008B7ADD" w:rsidRDefault="008F2910" w:rsidP="00B26951">
            <w:r>
              <w:t xml:space="preserve"> 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действующее законодательство</w:t>
            </w:r>
          </w:p>
        </w:tc>
        <w:tc>
          <w:tcPr>
            <w:tcW w:w="226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административных регламентов разработанных и принятых </w:t>
            </w:r>
          </w:p>
        </w:tc>
        <w:tc>
          <w:tcPr>
            <w:tcW w:w="333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администрации района, повышение эффективности работы по противодействию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685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 по противодействию коррупции в подведомственных организациях, выявлению и устранению условий для совершения коррупционных правонарушений</w:t>
            </w:r>
          </w:p>
        </w:tc>
        <w:tc>
          <w:tcPr>
            <w:tcW w:w="2249" w:type="dxa"/>
          </w:tcPr>
          <w:p w:rsidR="008F2910" w:rsidRPr="008B7ADD" w:rsidRDefault="008F2910" w:rsidP="00B26951">
            <w:r w:rsidRPr="008B7ADD">
              <w:t>управление делами</w:t>
            </w:r>
          </w:p>
          <w:p w:rsidR="008F2910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797" w:rsidRDefault="008F2910" w:rsidP="00B26951">
            <w:pPr>
              <w:rPr>
                <w:color w:val="000000"/>
              </w:rPr>
            </w:pPr>
            <w:r>
              <w:rPr>
                <w:color w:val="000000"/>
              </w:rPr>
              <w:t>отдел организационно-правовой и кадровой работы</w:t>
            </w:r>
          </w:p>
          <w:p w:rsidR="008F2910" w:rsidRPr="0001651C" w:rsidRDefault="008F2910" w:rsidP="00B26951">
            <w:r>
              <w:t xml:space="preserve"> </w:t>
            </w:r>
          </w:p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</w:p>
          <w:p w:rsidR="008F2910" w:rsidRPr="008B7ADD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планами мероприятий</w:t>
            </w:r>
          </w:p>
        </w:tc>
        <w:tc>
          <w:tcPr>
            <w:tcW w:w="2268" w:type="dxa"/>
          </w:tcPr>
          <w:p w:rsidR="008F2910" w:rsidRPr="008B7ADD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8F2910" w:rsidRPr="008B7ADD" w:rsidRDefault="00657797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2910" w:rsidRPr="008B7ADD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работы по противодействию коррупции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685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249" w:type="dxa"/>
          </w:tcPr>
          <w:p w:rsidR="008F2910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</w:p>
          <w:p w:rsidR="008F2910" w:rsidRDefault="008F2910" w:rsidP="00B269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10" w:rsidRPr="000034A7" w:rsidRDefault="008F2910" w:rsidP="00B26951">
            <w:r w:rsidRPr="000034A7">
              <w:t xml:space="preserve">финансовое управление </w:t>
            </w:r>
            <w:r>
              <w:t xml:space="preserve"> </w:t>
            </w:r>
            <w:r w:rsidRPr="000034A7">
              <w:t xml:space="preserve"> </w:t>
            </w:r>
          </w:p>
          <w:p w:rsidR="008F2910" w:rsidRPr="008B7ADD" w:rsidRDefault="008F2910" w:rsidP="00B26951">
            <w:pPr>
              <w:rPr>
                <w:highlight w:val="yellow"/>
              </w:rPr>
            </w:pPr>
          </w:p>
          <w:p w:rsidR="008F2910" w:rsidRPr="008B7ADD" w:rsidRDefault="008F2910" w:rsidP="00B26951">
            <w:pPr>
              <w:rPr>
                <w:highlight w:val="yellow"/>
              </w:rPr>
            </w:pPr>
            <w:r w:rsidRPr="008B7ADD">
              <w:rPr>
                <w:highlight w:val="yellow"/>
              </w:rPr>
              <w:t xml:space="preserve"> 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и иных мероприятий</w:t>
            </w:r>
          </w:p>
        </w:tc>
        <w:tc>
          <w:tcPr>
            <w:tcW w:w="333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коррупционных рисков и коррупционных проявлений</w:t>
            </w:r>
          </w:p>
        </w:tc>
      </w:tr>
      <w:tr w:rsidR="008F2910" w:rsidRPr="00E52985" w:rsidTr="008F2910">
        <w:tc>
          <w:tcPr>
            <w:tcW w:w="1122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685" w:type="dxa"/>
          </w:tcPr>
          <w:p w:rsidR="008F2910" w:rsidRPr="008B7ADD" w:rsidRDefault="008F2910" w:rsidP="008F29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мер, направленных на снижение коррупционных рисков при поступлении в образовательные организации, учреждения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образования Тужинского</w:t>
            </w: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обучении в них</w:t>
            </w:r>
          </w:p>
        </w:tc>
        <w:tc>
          <w:tcPr>
            <w:tcW w:w="2249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3338" w:type="dxa"/>
          </w:tcPr>
          <w:p w:rsidR="008F2910" w:rsidRPr="008B7ADD" w:rsidRDefault="008F2910" w:rsidP="006577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7ADD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законности в ходе предоставления мест в дошкольных учреждениях, обучении в учреждениях дополнительного образования</w:t>
            </w:r>
          </w:p>
        </w:tc>
      </w:tr>
    </w:tbl>
    <w:p w:rsidR="008F2910" w:rsidRDefault="008F2910" w:rsidP="008F2910">
      <w:pPr>
        <w:pStyle w:val="ConsPlusNormal"/>
        <w:ind w:left="4248" w:hanging="141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910" w:rsidRDefault="008F2910" w:rsidP="008F2910">
      <w:pPr>
        <w:pStyle w:val="ConsPlusNormal"/>
        <w:ind w:left="4248" w:hanging="1413"/>
        <w:rPr>
          <w:rFonts w:ascii="Times New Roman" w:hAnsi="Times New Roman" w:cs="Times New Roman"/>
          <w:color w:val="000000"/>
          <w:sz w:val="28"/>
          <w:szCs w:val="28"/>
        </w:rPr>
      </w:pPr>
    </w:p>
    <w:p w:rsidR="008F2910" w:rsidRPr="00E13F74" w:rsidRDefault="008F2910" w:rsidP="008F2910">
      <w:pPr>
        <w:pStyle w:val="ConsPlusNormal"/>
        <w:ind w:left="4248" w:hanging="1413"/>
        <w:rPr>
          <w:rFonts w:ascii="Times New Roman" w:hAnsi="Times New Roman" w:cs="Times New Roman"/>
          <w:sz w:val="28"/>
          <w:szCs w:val="28"/>
        </w:rPr>
      </w:pPr>
    </w:p>
    <w:p w:rsidR="008F2910" w:rsidRPr="00D23AF5" w:rsidRDefault="008F2910" w:rsidP="008F29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448EC" w:rsidRDefault="00297782" w:rsidP="00255BD1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55BD1">
        <w:rPr>
          <w:sz w:val="26"/>
          <w:szCs w:val="26"/>
        </w:rPr>
        <w:t xml:space="preserve"> </w:t>
      </w:r>
    </w:p>
    <w:p w:rsidR="00297782" w:rsidRDefault="00297782" w:rsidP="008964D7">
      <w:pPr>
        <w:widowControl w:val="0"/>
        <w:autoSpaceDE w:val="0"/>
        <w:autoSpaceDN w:val="0"/>
        <w:adjustRightInd w:val="0"/>
        <w:jc w:val="right"/>
        <w:outlineLvl w:val="0"/>
        <w:sectPr w:rsidR="00297782" w:rsidSect="00FE0850">
          <w:pgSz w:w="16838" w:h="11906" w:orient="landscape"/>
          <w:pgMar w:top="851" w:right="1134" w:bottom="851" w:left="709" w:header="709" w:footer="709" w:gutter="0"/>
          <w:cols w:space="708"/>
          <w:docGrid w:linePitch="360"/>
        </w:sectPr>
      </w:pPr>
    </w:p>
    <w:p w:rsidR="00DD24D5" w:rsidRDefault="00DD24D5" w:rsidP="00657797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963E7C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17C5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744DF"/>
    <w:rsid w:val="0018612B"/>
    <w:rsid w:val="001975E2"/>
    <w:rsid w:val="001A0994"/>
    <w:rsid w:val="001A5994"/>
    <w:rsid w:val="001B320E"/>
    <w:rsid w:val="001B384A"/>
    <w:rsid w:val="001B51D3"/>
    <w:rsid w:val="001B54E6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14997"/>
    <w:rsid w:val="00215074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55BD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97782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3F4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57797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186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AC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3ED4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D7B"/>
    <w:rsid w:val="008F291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0639"/>
    <w:rsid w:val="0093206C"/>
    <w:rsid w:val="00933A7A"/>
    <w:rsid w:val="00934031"/>
    <w:rsid w:val="009426E4"/>
    <w:rsid w:val="00943D17"/>
    <w:rsid w:val="00951E0F"/>
    <w:rsid w:val="00963E7C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0FA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0B79"/>
    <w:rsid w:val="00A744C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2D20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3C28"/>
    <w:rsid w:val="00C24D6A"/>
    <w:rsid w:val="00C25E9D"/>
    <w:rsid w:val="00C32E02"/>
    <w:rsid w:val="00C3674E"/>
    <w:rsid w:val="00C44111"/>
    <w:rsid w:val="00C55A5F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19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2D74"/>
    <w:rsid w:val="00DE3C09"/>
    <w:rsid w:val="00DE431B"/>
    <w:rsid w:val="00DF1245"/>
    <w:rsid w:val="00DF42E3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025C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23DE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850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9D9F7BD0A54C300DFA08BEE58D53A1DF550BA27675EEE0579BD69E90ED13726A3E11FC964D3726A4E109EEF64FS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D42A6-8209-4C21-BA82-102EABC7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17008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7</cp:revision>
  <cp:lastPrinted>2020-02-05T06:04:00Z</cp:lastPrinted>
  <dcterms:created xsi:type="dcterms:W3CDTF">2020-07-22T08:23:00Z</dcterms:created>
  <dcterms:modified xsi:type="dcterms:W3CDTF">2020-07-22T11:44:00Z</dcterms:modified>
</cp:coreProperties>
</file>